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1172"/>
        <w:gridCol w:w="1316"/>
        <w:gridCol w:w="906"/>
      </w:tblGrid>
      <w:tr w:rsidR="004B74D7" w:rsidRPr="000E66BA" w:rsidTr="004B74D7">
        <w:tc>
          <w:tcPr>
            <w:tcW w:w="1555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0E66BA" w:rsidRDefault="00F60A20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CARLOS ANDRÉS NAVARRO RAMÍREZ</w:t>
            </w:r>
          </w:p>
        </w:tc>
      </w:tr>
      <w:tr w:rsidR="004B74D7" w:rsidRPr="000E66BA" w:rsidTr="004B74D7">
        <w:tc>
          <w:tcPr>
            <w:tcW w:w="1555" w:type="dxa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0E66BA" w:rsidRDefault="004B74D7" w:rsidP="000E66B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0E66BA" w:rsidTr="004B74D7">
        <w:tc>
          <w:tcPr>
            <w:tcW w:w="1555" w:type="dxa"/>
          </w:tcPr>
          <w:p w:rsidR="004B74D7" w:rsidRPr="000E66BA" w:rsidRDefault="004B74D7" w:rsidP="002D08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F60A20" w:rsidP="002D08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SEXTO</w:t>
            </w:r>
          </w:p>
          <w:p w:rsidR="00047880" w:rsidRPr="000E66BA" w:rsidRDefault="00047880" w:rsidP="002D08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BIOLOGÍA</w:t>
            </w:r>
          </w:p>
        </w:tc>
        <w:tc>
          <w:tcPr>
            <w:tcW w:w="1525" w:type="dxa"/>
          </w:tcPr>
          <w:p w:rsidR="004B74D7" w:rsidRPr="000E66BA" w:rsidRDefault="004B74D7" w:rsidP="002D08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E6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0E66BA" w:rsidRDefault="001E7A82" w:rsidP="002D08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 más tardar el 27 de marzo</w:t>
            </w:r>
          </w:p>
        </w:tc>
      </w:tr>
    </w:tbl>
    <w:p w:rsidR="001A5DCB" w:rsidRPr="000E66BA" w:rsidRDefault="001A5DCB" w:rsidP="000E6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Transporte celular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La célula requiere de materia prima para poder funcionar. Esta materia prima se obtiene del medio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externo y entra a la célula para realizar diferentes procesos metabólicos, de los cuales se generan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residuos inútiles o nocivos (basura) que tienen que salir. Esto implica que las sustancias, tanto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materia prima como residuos, deben atravesar la membrana celular ya sea hacia dentro o hacia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afuera. Y a esta entrada y salida de sustancias se le llama transporte celular.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La membrana celular, presente en todos los tipos de células, está formada de una doble cadena de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lípidos y proteínas. En algunos casos (como en las plantas y las bacterias), la membrana se encuentra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acompañada por una pared celular. Estas membranas y paredes tienen poros que permiten que el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agua, dióxido de carbono y los nutrientes pasen fácilmente.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Así entonces, las membranas cumplen la función de delimitadoras (separa la célula del medio) y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porteros de las células, seleccionando y regulando la entrada y salida de materiales. Sin embargo,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¡no todos los materiales entran o salen! Las membranas tienen una propiedad conocida como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permeabilidad selectiva, que les permite dejar entrar únicamente los materiales que la célula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necesita y dejar salir únicamente las sustancias que la célula ya seleccionó como desecho.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Esta propiedad de la membrana es muy importante, ya que le permite a la célula mantener su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homeóstasis, es decir, el balance interno de la célula.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Como podrá recordar, hay dos maneras de entrar o salir de la célula: por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transporte pasivo, o por transporte activo.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Hablemos primero del pasivo. Se conocen como procesos de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transporte pasivo aquellos que no requieren de energía para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ser llevados a cabo, y son tres: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El primer tipo, llamado difusión simple es simplemente el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paso de pequeñas moléculas como el oxígeno a través de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la membrana, de lugares de mayor concentración a lugares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de menor concentración, hasta llegar al equilibrio (la misma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cantidad de partículas adentro que afuera).</w:t>
      </w:r>
    </w:p>
    <w:p w:rsidR="00047880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El segundo tipo, tiene relación con las moléculas más grandes como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la glucosa y otras azúcares, las cuales requieren de ayuda para pasar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por la membrana. Las proteínas que forman la membrana abren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unos canales o poros llamados canales de proteínas que permiten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el paso de estas moléculas. A veces, unas proteínas llamadas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proteínas portadoras atrapan la molécula de azúcar o aminoácido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y la entran. Este tipo de transporte de llama difusión facilitada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pues como su nombre lo indica, es facilitada o requiere la ayuda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de las proteínas de la membrana.</w:t>
      </w: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lastRenderedPageBreak/>
        <w:drawing>
          <wp:inline distT="0" distB="0" distL="0" distR="0" wp14:anchorId="778D7AC0" wp14:editId="1BABA041">
            <wp:extent cx="3121025" cy="1731645"/>
            <wp:effectExtent l="0" t="0" r="317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El tercero y último método se llama osmosis. Como el agua es tan importante para la célula,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 xml:space="preserve">a su paso por la membrana se le dio este nombre puntual. Es la misma </w:t>
      </w:r>
      <w:r w:rsidR="001E7A82" w:rsidRPr="002D083A">
        <w:rPr>
          <w:rFonts w:ascii="Arial" w:eastAsia="Times New Roman" w:hAnsi="Arial" w:cs="Arial"/>
          <w:sz w:val="20"/>
          <w:szCs w:val="20"/>
          <w:lang w:eastAsia="es-CO"/>
        </w:rPr>
        <w:t>difusión,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 xml:space="preserve"> pero del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agua. Cuando una célula se encuentra balanceada (igual concentración de agua y partículas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adentro que afuera) se le llama isotónica. Pero a veces la célula se encuentra en un medio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desequilibrado. En ocasiones, hay mayor concentración de partículas por fuera de la célula que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dentro de ella. A esta situación se le llama hipertónica. Esto se origina porque la célula deja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salir agua de su interior, con el ánimo de balancear las concentraciones de su exterior e interior.</w:t>
      </w: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Cuando la célula pierde agua, se arruga. Esto es lo que nos sucede cuando estamos largo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tiempo entre el agua, se nos arrugan los dedos pues estamos en una situación hipertónica. En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otras ocasiones, sucede lo contrario, es decir, la concentración de partículas en el interior de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la célula es mayor que en su medio externo. A esta situación se le conoce como hipotónica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y hace que la célula deje entrar agua con el ánimo de igualar las concentraciones. Como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consecuencia de ello, la célula se hincha e inclusive a veces explota.</w:t>
      </w: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drawing>
          <wp:inline distT="0" distB="0" distL="0" distR="0" wp14:anchorId="188F7C46" wp14:editId="03300D11">
            <wp:extent cx="3121025" cy="1431925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Para que los procesos de difusión u osmosis sucedan, debemos tener en cuenta 3 factores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importantes: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1. Tamaño: las moléculas deben tener un tamaño igual o menor a los poros de la membrana para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que puedan pasar sin problema.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2. Carga electrostática: las moléculas deben debe tener la carga electrostática opuesta a la de la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membrana o simplemente tener carga neutra.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3. Solubilidad: si las moléculas son más grandes que los poros, deben ser disueltas en una solución,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disminuyendo su tamaño y así podrá entrar en la célula por medio de la membrana.</w:t>
      </w: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t>El otro tipo de transporte es el transporte activo. Este tipo requiere energía debido a que, en el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transporte activo, las moléculas se mueven de un lugar de baja concentración a un lugar de alta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concentración, es decir, reman contra la corriente. Entran a actuar unas proteínas llamadas proteínas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bomba, encargadas de bombear las moléculas dentro o fuera de la célula. Por ejemplo, nuestras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 xml:space="preserve">células tienen que bombear hacia afuera el dióxido de carbono sin importar la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lastRenderedPageBreak/>
        <w:t>concentración del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medio, para que este llegue a los pulmones y sea exhalado. Para hacer este bombeo contra la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2D083A">
        <w:rPr>
          <w:rFonts w:ascii="Arial" w:eastAsia="Times New Roman" w:hAnsi="Arial" w:cs="Arial"/>
          <w:sz w:val="20"/>
          <w:szCs w:val="20"/>
          <w:lang w:eastAsia="es-CO"/>
        </w:rPr>
        <w:t>corriente, se requiere energía. En esto se utiliza el ATP que hicieron las mitocondrias.</w:t>
      </w: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D083A">
        <w:rPr>
          <w:rFonts w:ascii="Arial" w:eastAsia="Times New Roman" w:hAnsi="Arial" w:cs="Arial"/>
          <w:sz w:val="20"/>
          <w:szCs w:val="20"/>
          <w:lang w:eastAsia="es-CO"/>
        </w:rPr>
        <w:drawing>
          <wp:inline distT="0" distB="0" distL="0" distR="0" wp14:anchorId="20C268E0" wp14:editId="473BB939">
            <wp:extent cx="3121025" cy="1363980"/>
            <wp:effectExtent l="0" t="0" r="3175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32" w:rsidRDefault="00862D32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62D32" w:rsidRP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>Las proteínas y otras moléculas de gran tamaño, incluyendo a las bacterias, también deben entrar y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>salir de la célula y lo hacen por medio de movimientos de la membrana. El movimiento de partículas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enormes hacia adentro se llama endocitosis y hacia fuera, se llama </w:t>
      </w:r>
      <w:proofErr w:type="spellStart"/>
      <w:r w:rsidRPr="00862D32">
        <w:rPr>
          <w:rFonts w:ascii="Arial" w:eastAsia="Times New Roman" w:hAnsi="Arial" w:cs="Arial"/>
          <w:sz w:val="20"/>
          <w:szCs w:val="20"/>
          <w:lang w:eastAsia="es-CO"/>
        </w:rPr>
        <w:t>exocitosis</w:t>
      </w:r>
      <w:proofErr w:type="spellEnd"/>
      <w:r w:rsidRPr="00862D32">
        <w:rPr>
          <w:rFonts w:ascii="Arial" w:eastAsia="Times New Roman" w:hAnsi="Arial" w:cs="Arial"/>
          <w:sz w:val="20"/>
          <w:szCs w:val="20"/>
          <w:lang w:eastAsia="es-CO"/>
        </w:rPr>
        <w:t>. La célula forma una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>vacuola, vale decir un talego alrededor de estas partículas, y las entra o las saca envueltas. En los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>protozoos y algunas células animales, existe la fagocitosis que es un proceso en el que la membrana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>de la célula produce una vacuola que envuelve a la partícula o bacteria y se la lleva directamente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>a los lisosomas para ser digerida. Literalmente, se las traga. Este es el proceso que hacen nuestros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>leucocitos (células sanguíneas blancas) con los gérmenes, virus y bacterias que nos pueden enfermar.</w:t>
      </w:r>
    </w:p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>Vemos que nuestro cuerpo cumple con una serie de funciones vitales como alimentarse, excretar y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862D32">
        <w:rPr>
          <w:rFonts w:ascii="Arial" w:eastAsia="Times New Roman" w:hAnsi="Arial" w:cs="Arial"/>
          <w:sz w:val="20"/>
          <w:szCs w:val="20"/>
          <w:lang w:eastAsia="es-CO"/>
        </w:rPr>
        <w:t>respirar para que la célula sobreviva. ¡Son ellas la que nos hacen y mantienen!</w:t>
      </w:r>
    </w:p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62D32" w:rsidRPr="00862D32" w:rsidRDefault="00862D32" w:rsidP="00862D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>Relacione los conceptos de la columna A, con las definiciones de la columna B.</w:t>
      </w:r>
    </w:p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drawing>
          <wp:inline distT="0" distB="0" distL="0" distR="0" wp14:anchorId="28443DD3" wp14:editId="62AB54AE">
            <wp:extent cx="3121025" cy="2669540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62D32" w:rsidRDefault="00862D32" w:rsidP="00862D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Complete el siguiente cuadro con la función y dibujo determinado para cada función.</w:t>
      </w:r>
    </w:p>
    <w:p w:rsidR="00862D32" w:rsidRDefault="00862D32" w:rsidP="00862D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Ósmosis </w:t>
      </w:r>
    </w:p>
    <w:p w:rsidR="00862D32" w:rsidRDefault="00862D32" w:rsidP="00862D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Difusión facilitada </w:t>
      </w:r>
    </w:p>
    <w:p w:rsidR="00862D32" w:rsidRDefault="00862D32" w:rsidP="00862D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Difusión simple </w:t>
      </w:r>
    </w:p>
    <w:p w:rsidR="00862D32" w:rsidRDefault="00862D32" w:rsidP="00862D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Transporte activo </w:t>
      </w:r>
    </w:p>
    <w:p w:rsidR="00862D32" w:rsidRDefault="00862D32" w:rsidP="00862D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>Fagocitosis</w:t>
      </w:r>
    </w:p>
    <w:p w:rsidR="00862D32" w:rsidRDefault="00862D32" w:rsidP="00862D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62D32" w:rsidRDefault="00862D32" w:rsidP="00862D3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075"/>
      </w:tblGrid>
      <w:tr w:rsidR="00862D32" w:rsidTr="00862D32">
        <w:tc>
          <w:tcPr>
            <w:tcW w:w="1271" w:type="dxa"/>
          </w:tcPr>
          <w:p w:rsidR="00862D32" w:rsidRPr="00862D32" w:rsidRDefault="00862D32" w:rsidP="00862D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Problema/</w:t>
            </w:r>
          </w:p>
          <w:p w:rsidR="00862D32" w:rsidRDefault="00862D32" w:rsidP="00862D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situación</w:t>
            </w:r>
          </w:p>
        </w:tc>
        <w:tc>
          <w:tcPr>
            <w:tcW w:w="1559" w:type="dxa"/>
          </w:tcPr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Mecanismo de transporte</w:t>
            </w:r>
          </w:p>
          <w:p w:rsidR="00862D32" w:rsidRDefault="00862D32" w:rsidP="00862D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 proceso en la membrana</w:t>
            </w:r>
          </w:p>
        </w:tc>
        <w:tc>
          <w:tcPr>
            <w:tcW w:w="2075" w:type="dxa"/>
          </w:tcPr>
          <w:p w:rsidR="00862D32" w:rsidRDefault="00862D32" w:rsidP="00862D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Dibujo</w:t>
            </w:r>
          </w:p>
        </w:tc>
      </w:tr>
      <w:tr w:rsidR="00862D32" w:rsidTr="00862D32">
        <w:tc>
          <w:tcPr>
            <w:tcW w:w="1271" w:type="dxa"/>
          </w:tcPr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Paso de oxígeno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 través de la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membrana de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las células del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bookmarkStart w:id="0" w:name="_GoBack"/>
            <w:bookmarkEnd w:id="0"/>
            <w:r w:rsidR="001E7A82"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cerebro </w:t>
            </w:r>
            <w:r w:rsidR="001E7A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después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 una clase de</w:t>
            </w:r>
          </w:p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educación física.</w:t>
            </w:r>
          </w:p>
        </w:tc>
        <w:tc>
          <w:tcPr>
            <w:tcW w:w="1559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75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2D32" w:rsidTr="00862D32">
        <w:tc>
          <w:tcPr>
            <w:tcW w:w="1271" w:type="dxa"/>
          </w:tcPr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Paso de agua 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piel o “sudar”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luego de la clase de</w:t>
            </w:r>
          </w:p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educación física.</w:t>
            </w:r>
          </w:p>
        </w:tc>
        <w:tc>
          <w:tcPr>
            <w:tcW w:w="1559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75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2D32" w:rsidTr="00862D32">
        <w:tc>
          <w:tcPr>
            <w:tcW w:w="1271" w:type="dxa"/>
          </w:tcPr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Paso de glucosa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(azúcar) a través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 las células del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corazón luego de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clase de</w:t>
            </w:r>
          </w:p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educación física.</w:t>
            </w:r>
          </w:p>
        </w:tc>
        <w:tc>
          <w:tcPr>
            <w:tcW w:w="1559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75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2D32" w:rsidTr="00862D32">
        <w:tc>
          <w:tcPr>
            <w:tcW w:w="1271" w:type="dxa"/>
          </w:tcPr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Paso de potasio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 sodio por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reabsorción en el</w:t>
            </w:r>
          </w:p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intestino delgado.</w:t>
            </w:r>
          </w:p>
        </w:tc>
        <w:tc>
          <w:tcPr>
            <w:tcW w:w="1559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75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62D32" w:rsidTr="00862D32">
        <w:tc>
          <w:tcPr>
            <w:tcW w:w="1271" w:type="dxa"/>
          </w:tcPr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Ataque a bacterias</w:t>
            </w:r>
          </w:p>
          <w:p w:rsidR="00862D32" w:rsidRP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infecciosas por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parte de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862D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leucocitos.</w:t>
            </w:r>
          </w:p>
        </w:tc>
        <w:tc>
          <w:tcPr>
            <w:tcW w:w="1559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75" w:type="dxa"/>
          </w:tcPr>
          <w:p w:rsidR="00862D32" w:rsidRDefault="00862D32" w:rsidP="00862D3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62D32" w:rsidRP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>Tomado y editado de:</w:t>
      </w:r>
    </w:p>
    <w:p w:rsidR="00862D32" w:rsidRP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• </w:t>
      </w:r>
      <w:proofErr w:type="spellStart"/>
      <w:r w:rsidRPr="00862D32">
        <w:rPr>
          <w:rFonts w:ascii="Arial" w:eastAsia="Times New Roman" w:hAnsi="Arial" w:cs="Arial"/>
          <w:sz w:val="20"/>
          <w:szCs w:val="20"/>
          <w:lang w:eastAsia="es-CO"/>
        </w:rPr>
        <w:t>Audesirk</w:t>
      </w:r>
      <w:proofErr w:type="spellEnd"/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, T et al. (2013). </w:t>
      </w:r>
      <w:proofErr w:type="spellStart"/>
      <w:r w:rsidRPr="00862D32">
        <w:rPr>
          <w:rFonts w:ascii="Arial" w:eastAsia="Times New Roman" w:hAnsi="Arial" w:cs="Arial"/>
          <w:sz w:val="20"/>
          <w:szCs w:val="20"/>
          <w:lang w:eastAsia="es-CO"/>
        </w:rPr>
        <w:t>Biologia</w:t>
      </w:r>
      <w:proofErr w:type="spellEnd"/>
      <w:r w:rsidRPr="00862D32">
        <w:rPr>
          <w:rFonts w:ascii="Arial" w:eastAsia="Times New Roman" w:hAnsi="Arial" w:cs="Arial"/>
          <w:sz w:val="20"/>
          <w:szCs w:val="20"/>
          <w:lang w:eastAsia="es-CO"/>
        </w:rPr>
        <w:t>. La vida en la Tierra. Pearson Educación de México.</w:t>
      </w:r>
    </w:p>
    <w:p w:rsidR="00862D32" w:rsidRDefault="00862D32" w:rsidP="00862D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• </w:t>
      </w:r>
      <w:proofErr w:type="spellStart"/>
      <w:r w:rsidRPr="00862D32">
        <w:rPr>
          <w:rFonts w:ascii="Arial" w:eastAsia="Times New Roman" w:hAnsi="Arial" w:cs="Arial"/>
          <w:sz w:val="20"/>
          <w:szCs w:val="20"/>
          <w:lang w:eastAsia="es-CO"/>
        </w:rPr>
        <w:t>Guarin</w:t>
      </w:r>
      <w:proofErr w:type="spellEnd"/>
      <w:r w:rsidRPr="00862D32">
        <w:rPr>
          <w:rFonts w:ascii="Arial" w:eastAsia="Times New Roman" w:hAnsi="Arial" w:cs="Arial"/>
          <w:sz w:val="20"/>
          <w:szCs w:val="20"/>
          <w:lang w:eastAsia="es-CO"/>
        </w:rPr>
        <w:t xml:space="preserve"> Arias, C. et al. (2012). Ciencias para pensar. Bogotá: Grupo Editorial Norma.</w:t>
      </w:r>
    </w:p>
    <w:p w:rsidR="002D083A" w:rsidRPr="002D083A" w:rsidRDefault="002D083A" w:rsidP="002D08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047880" w:rsidRDefault="00047880" w:rsidP="000478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Descargue esta guía y diligénciela, luego envíela al correo </w:t>
      </w:r>
    </w:p>
    <w:p w:rsidR="00047880" w:rsidRDefault="00047880" w:rsidP="000478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7880" w:rsidRDefault="008E63F2" w:rsidP="0004788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hyperlink r:id="rId11" w:history="1">
        <w:r w:rsidR="00047880">
          <w:rPr>
            <w:rStyle w:val="Hipervnculo"/>
            <w:rFonts w:ascii="Arial" w:hAnsi="Arial" w:cs="Arial"/>
            <w:sz w:val="20"/>
            <w:szCs w:val="20"/>
          </w:rPr>
          <w:t>canavarror</w:t>
        </w:r>
        <w:r w:rsidR="00047880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@educacionbogota.edu.co</w:t>
        </w:r>
      </w:hyperlink>
    </w:p>
    <w:p w:rsidR="00047880" w:rsidRPr="00EC68CC" w:rsidRDefault="00047880" w:rsidP="00BB4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47880" w:rsidRPr="00EC68CC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F2" w:rsidRDefault="008E63F2" w:rsidP="00091FE6">
      <w:pPr>
        <w:spacing w:after="0" w:line="240" w:lineRule="auto"/>
      </w:pPr>
      <w:r>
        <w:separator/>
      </w:r>
    </w:p>
  </w:endnote>
  <w:endnote w:type="continuationSeparator" w:id="0">
    <w:p w:rsidR="008E63F2" w:rsidRDefault="008E63F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F2" w:rsidRDefault="008E63F2" w:rsidP="00091FE6">
      <w:pPr>
        <w:spacing w:after="0" w:line="240" w:lineRule="auto"/>
      </w:pPr>
      <w:r>
        <w:separator/>
      </w:r>
    </w:p>
  </w:footnote>
  <w:footnote w:type="continuationSeparator" w:id="0">
    <w:p w:rsidR="008E63F2" w:rsidRDefault="008E63F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F60A20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9566C11" wp14:editId="537C6E77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507F8A4" wp14:editId="6DDA7408">
          <wp:simplePos x="0" y="0"/>
          <wp:positionH relativeFrom="column">
            <wp:posOffset>6207125</wp:posOffset>
          </wp:positionH>
          <wp:positionV relativeFrom="paragraph">
            <wp:posOffset>-257175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</w:t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</w:t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F60A20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F60A20">
    <w:pPr>
      <w:widowControl w:val="0"/>
      <w:autoSpaceDE w:val="0"/>
      <w:autoSpaceDN w:val="0"/>
      <w:adjustRightInd w:val="0"/>
      <w:spacing w:after="0" w:line="240" w:lineRule="auto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F60A20">
      <w:rPr>
        <w:rFonts w:eastAsia="Times New Roman" w:cs="Calibri"/>
        <w:bCs/>
        <w:lang w:eastAsia="es-CO"/>
      </w:rPr>
      <w:t xml:space="preserve">    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E74"/>
    <w:multiLevelType w:val="hybridMultilevel"/>
    <w:tmpl w:val="5D82DE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7880"/>
    <w:rsid w:val="00091FE6"/>
    <w:rsid w:val="000E66BA"/>
    <w:rsid w:val="001A5DCB"/>
    <w:rsid w:val="001E7A82"/>
    <w:rsid w:val="002A55C4"/>
    <w:rsid w:val="002D083A"/>
    <w:rsid w:val="00323C23"/>
    <w:rsid w:val="004B74D7"/>
    <w:rsid w:val="00513795"/>
    <w:rsid w:val="006F6C8A"/>
    <w:rsid w:val="007076B7"/>
    <w:rsid w:val="0071196F"/>
    <w:rsid w:val="00763B98"/>
    <w:rsid w:val="007F003D"/>
    <w:rsid w:val="00803B4E"/>
    <w:rsid w:val="00845133"/>
    <w:rsid w:val="00862D32"/>
    <w:rsid w:val="008B4D4F"/>
    <w:rsid w:val="008E2FEB"/>
    <w:rsid w:val="008E63F2"/>
    <w:rsid w:val="009E13AE"/>
    <w:rsid w:val="00A474AA"/>
    <w:rsid w:val="00BB4F27"/>
    <w:rsid w:val="00D43693"/>
    <w:rsid w:val="00D722F5"/>
    <w:rsid w:val="00E578A6"/>
    <w:rsid w:val="00EC68CC"/>
    <w:rsid w:val="00ED532A"/>
    <w:rsid w:val="00EF69D1"/>
    <w:rsid w:val="00F072BC"/>
    <w:rsid w:val="00F60A20"/>
    <w:rsid w:val="00F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C1582"/>
  <w15:docId w15:val="{9706AC32-E4D1-446E-9BFB-5342D6FB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F60A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avarror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DOCENTE</cp:lastModifiedBy>
  <cp:revision>2</cp:revision>
  <cp:lastPrinted>2019-03-26T13:10:00Z</cp:lastPrinted>
  <dcterms:created xsi:type="dcterms:W3CDTF">2020-03-17T15:02:00Z</dcterms:created>
  <dcterms:modified xsi:type="dcterms:W3CDTF">2020-03-17T15:02:00Z</dcterms:modified>
</cp:coreProperties>
</file>